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8"/>
          <w:kern w:val="1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黑体" w:eastAsia="黑体" w:hAnsi="黑体"/>
          <w:caps w:val="0"/>
        </w:rPr>
        <w:t xml:space="preserve">眼科手术显微镜</w:t>
      </w:r>
    </w:p>
    <w:p>
      <w:pPr>
        <w:pStyle w:val="Normal"/>
        <w:jc w:val="left"/>
        <w:numPr>
          <w:ilvl w:val="0"/>
          <w:numId w:val="1"/>
        </w:numPr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ind w:left="720" w:hanging="720"/>
        <w:textAlignment w:val="baseline"/>
        <w:tabs>
          <w:tab w:val="left" w:leader="none" w:pos="720"/>
        </w:tabs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数量：1套</w:t>
      </w:r>
    </w:p>
    <w:p>
      <w:pPr>
        <w:pStyle w:val="Normal"/>
        <w:jc w:val="left"/>
        <w:numPr>
          <w:ilvl w:val="0"/>
          <w:numId w:val="1"/>
        </w:numPr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ind w:left="720" w:hanging="720"/>
        <w:textAlignment w:val="baseline"/>
        <w:tabs>
          <w:tab w:val="left" w:leader="none" w:pos="720"/>
        </w:tabs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技术参数及要求</w:t>
      </w:r>
    </w:p>
    <w:p>
      <w:pPr>
        <w:pStyle w:val="Normal"/>
        <w:jc w:val="left"/>
        <w:numPr>
          <w:ilvl w:val="0"/>
          <w:numId w:val="2"/>
        </w:numPr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ind w:left="720" w:hanging="720"/>
        <w:textAlignment w:val="baseline"/>
        <w:tabs>
          <w:tab w:val="left" w:leader="none" w:pos="720"/>
        </w:tabs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显微镜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bCs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cs="Times New Roman" w:hAnsi="Times New Roman"/>
          <w:caps w:val="0"/>
        </w:rPr>
        <w:t xml:space="preserve">1.1</w:t>
      </w: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防反光多涂层复消色差技术（覆盖整个光学系统）、T*镀膜技术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1.2 电动变倍系统（变倍速度可调）：放大倍率1:6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1.3调焦范围≥50mm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★1.4主刀镜双目镜筒：0-180</w:t>
      </w: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vertAlign w:val="superscript"/>
          <w:rFonts w:ascii="Times New Roman" w:hAnsi="Times New Roman"/>
          <w:caps w:val="0"/>
        </w:rPr>
        <w:t xml:space="preserve">。</w:t>
      </w: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倾角可调双目镜筒,具备内置倒像功能双目镜筒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1.5 目镜：10X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1.6物镜f=200mm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1.7具备智能景深增强系统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★1.8  助手镜：内置四光路助手镜，可独立调焦变倍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2、目镜屈光补偿：-8D到+5D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3、照明系统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3.1具备立体同轴照明系统技术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3.2具备红光反射照明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3.3具备手术视野照明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4、滤光片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4.1内置408nm防紫外线滤光片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4.2具有减少蓝光滤光片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4.3具有视网膜保护装置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4.4具有荧光滤光片（可选）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5、光源系统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5.1 12V,≥50W卤素灯，冷光源，光纤传导照明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5.2备用灯泡完全自动切换功能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6、X-Y水平移动系统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6.1调节范围≥59mm*59mm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6.2可自行定义初始状态的X-Y位置，调焦和变倍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7、控制单元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7.1具有触摸屏控制面板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7.2 可储存20组以上用户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7.3 具有故障诊断代码显示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8、脚踏控制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8.1 配置12功能防水脚踏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8.2可选配12功能无线脚踏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9、支架系统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9.1 配置集成化智能落地支架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9.2最大承重力≥13.5kg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10、非接触广角镜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★10.1 60D、128D；具有内调焦还原物镜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10.2工作距离≥110mm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11、提供设备运行所需的必要附件，提供易损件价格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三、售后服务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1、免费质保期：≥1年，终生维修；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2、保修期外收取零配件费，不收维修费；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3、接到用户维修通知后， 4小时内作出相应，并在12小时内派员到达用户现场实施维修,如果当日不能维修需免费提供备用机；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 xml:space="preserve">4、免费提供操作和维修培训。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t/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1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b w:val="0"/>
          <w:i w:val="0"/>
          <w:color w:val="000000"/>
          <w:sz w:val="21"/>
          <w:spacing w:val="0"/>
          <w:w w:val="100"/>
          <w:rFonts w:ascii="Times New Roman" w:hAnsi="Times New Roman"/>
          <w:caps w:val="0"/>
        </w:rPr>
        <w:t/>
      </w:r>
    </w:p>
    <w:sectPr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Calibri">
    <w:altName w:val="Calibri"/>
    <w:charset w:val="00"/>
    <w:family w:val="swiss"/>
    <w:panose1 w:val="020f0502020204030204"/>
    <w:pitch w:val="default"/>
    <w:sig w:usb0="e0002aff" w:usb1="c000247b" w:usb2="00000009" w:usb3="00000000" w:csb0="200001ff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Calibri Light">
    <w:altName w:val="Calibri Light"/>
    <w:charset w:val="00"/>
    <w:family w:val="swiss"/>
    <w:panose1 w:val="020f0302020204030204"/>
    <w:pitch w:val="default"/>
    <w:sig w:usb0="e0002aff" w:usb1="c000247b" w:usb2="00000009" w:usb3="00000000" w:csb0="200001ff" w:csb1="00000000"/>
  </w:font>
  <w:font w:name="Arial">
    <w:altName w:val="Arial"/>
    <w:charset w:val="00"/>
    <w:family w:val="swiss"/>
    <w:panose1 w:val="020b0604020202020204"/>
    <w:pitch w:val="default"/>
    <w:sig w:usb0="e0002eff" w:usb1="c000785b" w:usb2="00000009" w:usb3="00000000" w:csb0="400001ff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0000002"/>
    <w:multiLevelType w:val="multilevel"/>
    <w:tmpl w:val="00000002"/>
    <w:lvl w:ilvl="0">
      <w:start w:val="1"/>
      <w:numFmt w:val="japaneseCounting"/>
      <w:suff w:val="tab"/>
      <w:lvlText w:val="%1、"/>
      <w:lvlJc w:val="left"/>
      <w:pPr>
        <w:pStyle w:val="Normal"/>
        <w:widowControl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)"/>
      <w:lvlJc w:val="left"/>
      <w:pPr>
        <w:pStyle w:val="Normal"/>
        <w:widowControl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left"/>
      <w:pPr>
        <w:pStyle w:val="Normal"/>
        <w:widowControl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)"/>
      <w:lvlJc w:val="left"/>
      <w:pPr>
        <w:pStyle w:val="Normal"/>
        <w:widowControl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left"/>
      <w:pPr>
        <w:pStyle w:val="Normal"/>
        <w:widowControl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)"/>
      <w:lvlJc w:val="left"/>
      <w:pPr>
        <w:pStyle w:val="Normal"/>
        <w:widowControl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left"/>
      <w:pPr>
        <w:pStyle w:val="Normal"/>
        <w:widowControl/>
        <w:textAlignment w:val="baseline"/>
      </w:pPr>
      <w:rPr>
        <w:rStyle w:val="NormalCharacter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suff w:val="tab"/>
      <w:lvlText w:val="%1、"/>
      <w:lvlJc w:val="left"/>
      <w:pPr>
        <w:pStyle w:val="Normal"/>
        <w:widowControl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)"/>
      <w:lvlJc w:val="left"/>
      <w:pPr>
        <w:pStyle w:val="Normal"/>
        <w:widowControl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left"/>
      <w:pPr>
        <w:pStyle w:val="Normal"/>
        <w:widowControl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)"/>
      <w:lvlJc w:val="left"/>
      <w:pPr>
        <w:pStyle w:val="Normal"/>
        <w:widowControl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left"/>
      <w:pPr>
        <w:pStyle w:val="Normal"/>
        <w:widowControl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)"/>
      <w:lvlJc w:val="left"/>
      <w:pPr>
        <w:pStyle w:val="Normal"/>
        <w:widowControl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left"/>
      <w:pPr>
        <w:pStyle w:val="Normal"/>
        <w:widowControl/>
        <w:textAlignment w:val="baseline"/>
      </w:pPr>
      <w:rPr>
        <w:rStyle w:val="NormalCharacter"/>
      </w:rPr>
    </w:lvl>
  </w:abstractNum>
  <w:abstractNum w:abstractNumId="2">
    <w:nsid w:val="00000005"/>
    <w:multiLevelType w:val="multilevel"/>
    <w:tmpl w:val="00000005"/>
    <w:lvl w:ilvl="0">
      <w:start w:val="1"/>
      <w:numFmt w:val="japaneseCounting"/>
      <w:suff w:val="tab"/>
      <w:lvlText w:val="%1、"/>
      <w:lvlJc w:val="left"/>
      <w:pPr>
        <w:pStyle w:val="Normal"/>
        <w:widowControl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)"/>
      <w:lvlJc w:val="left"/>
      <w:pPr>
        <w:pStyle w:val="Normal"/>
        <w:widowControl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left"/>
      <w:pPr>
        <w:pStyle w:val="Normal"/>
        <w:widowControl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)"/>
      <w:lvlJc w:val="left"/>
      <w:pPr>
        <w:pStyle w:val="Normal"/>
        <w:widowControl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left"/>
      <w:pPr>
        <w:pStyle w:val="Normal"/>
        <w:widowControl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)"/>
      <w:lvlJc w:val="left"/>
      <w:pPr>
        <w:pStyle w:val="Normal"/>
        <w:widowControl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left"/>
      <w:pPr>
        <w:pStyle w:val="Normal"/>
        <w:widowControl/>
        <w:textAlignment w:val="baseline"/>
      </w:pPr>
      <w:rPr>
        <w:rStyle w:val="NormalCharacter"/>
      </w:rPr>
    </w:lvl>
  </w:abstractNum>
  <w:abstractNum w:abstractNumId="3">
    <w:nsid w:val="00000010"/>
    <w:multiLevelType w:val="multilevel"/>
    <w:tmpl w:val="00000010"/>
    <w:lvl w:ilvl="0">
      <w:start w:val="2"/>
      <w:numFmt w:val="decimal"/>
      <w:suff w:val="tab"/>
      <w:lvlText w:val="%1"/>
      <w:lvlJc w:val="left"/>
      <w:pPr>
        <w:pStyle w:val="Normal"/>
        <w:widowControl/>
        <w:textAlignment w:val="baseline"/>
      </w:pPr>
      <w:rPr>
        <w:rStyle w:val="NormalCharacter"/>
      </w:rPr>
    </w:lvl>
    <w:lvl w:ilvl="1">
      <w:start w:val="1"/>
      <w:numFmt w:val="decimal"/>
      <w:suff w:val="tab"/>
      <w:lvlText w:val="%1.%2"/>
      <w:lvlJc w:val="left"/>
      <w:pPr>
        <w:pStyle w:val="Normal"/>
        <w:widowControl/>
        <w:textAlignment w:val="baseline"/>
      </w:pPr>
      <w:rPr>
        <w:rStyle w:val="NormalCharacter"/>
      </w:rPr>
    </w:lvl>
    <w:lvl w:ilvl="2">
      <w:start w:val="1"/>
      <w:numFmt w:val="decimal"/>
      <w:suff w:val="tab"/>
      <w:lvlText w:val="%1.%2.%3"/>
      <w:lvlJc w:val="left"/>
      <w:pPr>
        <w:pStyle w:val="Normal"/>
        <w:widowControl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%2.%3.%4"/>
      <w:lvlJc w:val="left"/>
      <w:pPr>
        <w:pStyle w:val="Normal"/>
        <w:widowControl/>
        <w:textAlignment w:val="baseline"/>
      </w:pPr>
      <w:rPr>
        <w:rStyle w:val="NormalCharacter"/>
      </w:rPr>
    </w:lvl>
    <w:lvl w:ilvl="4">
      <w:start w:val="1"/>
      <w:numFmt w:val="decimal"/>
      <w:suff w:val="tab"/>
      <w:lvlText w:val="%1.%2.%3.%4.%5"/>
      <w:lvlJc w:val="left"/>
      <w:pPr>
        <w:pStyle w:val="Normal"/>
        <w:widowControl/>
        <w:textAlignment w:val="baseline"/>
      </w:pPr>
      <w:rPr>
        <w:rStyle w:val="NormalCharacter"/>
      </w:rPr>
    </w:lvl>
    <w:lvl w:ilvl="5">
      <w:start w:val="1"/>
      <w:numFmt w:val="decimal"/>
      <w:suff w:val="tab"/>
      <w:lvlText w:val="%1.%2.%3.%4.%5.%6"/>
      <w:lvlJc w:val="left"/>
      <w:pPr>
        <w:pStyle w:val="Normal"/>
        <w:widowControl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widowControl/>
        <w:textAlignment w:val="baseline"/>
      </w:pPr>
      <w:rPr>
        <w:rStyle w:val="NormalCharacter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widowControl/>
        <w:textAlignment w:val="baseline"/>
      </w:pPr>
      <w:rPr>
        <w:rStyle w:val="NormalCharacter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widowControl/>
        <w:textAlignment w:val="baseline"/>
      </w:pPr>
      <w:rPr>
        <w:rStyle w:val="NormalCharacter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>
  <w:zoom w:percent="120"/>
  <w:displayBackgroundShape/>
  <w:embedSystemFonts/>
  <w:stylePaneFormatFilter w:val="5024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lang w:val="en-US" w:eastAsia="zh-CN" w:bidi="ar-SA"/>
        <w:rFonts w:ascii="Times New Roman" w:hAnsi="Times New Roman"/>
        <w:color w:val="000000"/>
      </w:rPr>
      <w:jc w:val="both"/>
      <w:textAlignment w:val="baseline"/>
    </w:pPr>
    <w:rPr>
      <w:szCs w:val="24"/>
      <w:sz w:val="21"/>
      <w:lang w:val="en-US" w:eastAsia="zh-CN" w:bidi="ar-SA"/>
      <w:rFonts w:ascii="Times New Roman" w:hAnsi="Times New Roman"/>
      <w:color w:val="000000"/>
    </w:rPr>
  </w:style>
  <w:style w:type="paragraph" w:styleId="Heading1">
    <w:name w:val="Heading1"/>
    <w:basedOn w:val="Normal"/>
    <w:next w:val="Normal"/>
    <w:link w:val="UserStyle_0"/>
    <w:pPr>
      <w:rPr>
        <w:b/>
        <w:bCs/>
        <w:szCs w:val="44"/>
        <w:sz w:val="44"/>
        <w:kern w:val="44"/>
        <w:lang w:val="en-US" w:eastAsia="zh-CN" w:bidi="ar-SA"/>
        <w:rFonts w:ascii="Times New Roman" w:cs="Times New Roman" w:hAnsi="Times New Roman"/>
        <w:color w:val="000000"/>
      </w:rPr>
      <w:keepLines/>
      <w:keepNext/>
      <w:framePr w:outlineLvl="0"/>
      <w:spacing w:line="578" w:after="330" w:before="340" w:lineRule="auto"/>
      <w:jc w:val="both"/>
      <w:textAlignment w:val="baseline"/>
    </w:pPr>
    <w:rPr>
      <w:b/>
      <w:bCs/>
      <w:szCs w:val="44"/>
      <w:sz w:val="44"/>
      <w:kern w:val="44"/>
      <w:lang w:val="en-US" w:eastAsia="zh-CN" w:bidi="ar-SA"/>
      <w:rFonts w:ascii="Times New Roman" w:cs="Times New Roman" w:hAnsi="Times New Roman"/>
      <w:color w:val="000000"/>
    </w:rPr>
  </w:style>
  <w:style w:type="paragraph" w:styleId="Heading2">
    <w:name w:val="Heading2"/>
    <w:basedOn w:val="Normal"/>
    <w:next w:val="Normal"/>
    <w:link w:val="UserStyle_0"/>
    <w:pPr>
      <w:rPr>
        <w:b/>
        <w:bCs/>
        <w:szCs w:val="32"/>
        <w:sz w:val="32"/>
        <w:lang w:val="en-US" w:eastAsia="zh-CN" w:bidi="ar-SA"/>
        <w:rFonts w:ascii="Calibri Light" w:cs="Times New Roman" w:eastAsia="宋体" w:hAnsi="Calibri Light"/>
        <w:color w:val="000000"/>
      </w:rPr>
      <w:keepLines/>
      <w:keepNext/>
      <w:framePr w:outlineLvl="1"/>
      <w:spacing w:line="416" w:after="260" w:before="260" w:lineRule="auto"/>
      <w:jc w:val="both"/>
      <w:textAlignment w:val="baseline"/>
    </w:pPr>
    <w:rPr>
      <w:b/>
      <w:bCs/>
      <w:szCs w:val="32"/>
      <w:sz w:val="32"/>
      <w:lang w:val="en-US" w:eastAsia="zh-CN" w:bidi="ar-SA"/>
      <w:rFonts w:ascii="Calibri Light" w:cs="Times New Roman" w:eastAsia="宋体" w:hAnsi="Calibri Light"/>
      <w:color w:val="000000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</w:style>
  <w:style w:type="character" w:styleId="UserStyle_0">
    <w:name w:val="UserStyle_0"/>
    <w:next w:val="UserStyle_0"/>
    <w:link w:val="Heading2"/>
    <w:semiHidden/>
    <w:rPr>
      <w:b/>
      <w:bCs/>
      <w:szCs w:val="32"/>
      <w:sz w:val="32"/>
      <w:rFonts w:ascii="Calibri Light" w:cs="Times New Roman" w:eastAsia="宋体" w:hAnsi="Calibri Light"/>
    </w:rPr>
  </w:style>
  <w:style w:type="character" w:styleId="UserStyle_1">
    <w:name w:val="UserStyle_1"/>
    <w:next w:val="UserStyle_1"/>
    <w:link w:val="BodyText"/>
    <w:rPr>
      <w:szCs w:val="24"/>
      <w:rFonts w:ascii="Times New Roman" w:eastAsia="宋体" w:hAnsi="Times New Roman"/>
    </w:rPr>
  </w:style>
  <w:style w:type="character" w:styleId="UserStyle_2">
    <w:name w:val="UserStyle_2"/>
    <w:next w:val="UserStyle_2"/>
    <w:link w:val="Heading1"/>
    <w:rPr>
      <w:b/>
      <w:bCs/>
      <w:szCs w:val="44"/>
      <w:sz w:val="44"/>
      <w:kern w:val="44"/>
      <w:rFonts w:ascii="Calibri" w:cs="Times New Roman" w:eastAsia="宋体" w:hAnsi="Calibri"/>
    </w:rPr>
  </w:style>
  <w:style w:type="character" w:styleId="UserStyle_3">
    <w:name w:val="UserStyle_3"/>
    <w:next w:val="UserStyle_3"/>
    <w:link w:val="Header"/>
    <w:rPr>
      <w:szCs w:val="18"/>
      <w:sz w:val="18"/>
      <w:rFonts w:ascii="Calibri" w:eastAsia="宋体" w:hAnsi="Calibri"/>
    </w:rPr>
  </w:style>
  <w:style w:type="character" w:styleId="UserStyle_4">
    <w:name w:val="UserStyle_4"/>
    <w:next w:val="UserStyle_4"/>
    <w:link w:val="Footer"/>
    <w:rPr>
      <w:szCs w:val="18"/>
      <w:sz w:val="18"/>
      <w:rFonts w:ascii="Calibri" w:eastAsia="宋体" w:hAnsi="Calibri"/>
    </w:rPr>
  </w:style>
  <w:style w:type="paragraph" w:styleId="Header">
    <w:name w:val="Header"/>
    <w:basedOn w:val="Normal"/>
    <w:next w:val="Header"/>
    <w:link w:val="UserStyle_3"/>
    <w:pPr>
      <w:rPr>
        <w:szCs w:val="18"/>
        <w:sz w:val="18"/>
        <w:lang w:val="en-US" w:eastAsia="zh-CN" w:bidi="ar-SA"/>
        <w:rFonts w:ascii="Times New Roman" w:hAnsi="Times New Roman"/>
        <w:color w:val="000000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lang w:val="en-US" w:eastAsia="zh-CN" w:bidi="ar-SA"/>
      <w:rFonts w:ascii="Times New Roman" w:hAnsi="Times New Roman"/>
      <w:color w:val="000000"/>
    </w:rPr>
  </w:style>
  <w:style w:type="paragraph" w:styleId="Footer">
    <w:name w:val="Footer"/>
    <w:basedOn w:val="Normal"/>
    <w:next w:val="Footer"/>
    <w:link w:val="UserStyle_4"/>
    <w:pPr>
      <w:rPr>
        <w:szCs w:val="18"/>
        <w:sz w:val="18"/>
        <w:lang w:val="en-US" w:eastAsia="zh-CN" w:bidi="ar-SA"/>
        <w:rFonts w:ascii="Times New Roman" w:hAnsi="Times New Roman"/>
        <w:color w:val="000000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lang w:val="en-US" w:eastAsia="zh-CN" w:bidi="ar-SA"/>
      <w:rFonts w:ascii="Times New Roman" w:hAnsi="Times New Roman"/>
      <w:color w:val="000000"/>
    </w:rPr>
  </w:style>
  <w:style w:type="paragraph" w:styleId="List2">
    <w:name w:val="List2"/>
    <w:basedOn w:val="Normal"/>
    <w:next w:val="List2"/>
    <w:link w:val="Normal"/>
    <w:pPr>
      <w:rPr>
        <w:szCs w:val="24"/>
        <w:sz w:val="21"/>
        <w:lang w:val="en-US" w:eastAsia="zh-CN" w:bidi="ar-SA"/>
        <w:rFonts w:ascii="Times New Roman" w:hAnsi="Times New Roman"/>
        <w:color w:val="000000"/>
      </w:rPr>
      <w:ind w:leftChars="200" w:hanging="200" w:left="100" w:firstLineChars="-200"/>
      <w:jc w:val="both"/>
      <w:textAlignment w:val="baseline"/>
    </w:pPr>
    <w:rPr>
      <w:szCs w:val="24"/>
      <w:sz w:val="21"/>
      <w:lang w:val="en-US" w:eastAsia="zh-CN" w:bidi="ar-SA"/>
      <w:rFonts w:ascii="Times New Roman" w:hAnsi="Times New Roman"/>
      <w:color w:val="000000"/>
    </w:rPr>
  </w:style>
  <w:style w:type="paragraph" w:styleId="BodyText">
    <w:name w:val="BodyText"/>
    <w:basedOn w:val="Normal"/>
    <w:next w:val="BodyText"/>
    <w:link w:val="UserStyle_1"/>
    <w:pPr>
      <w:rPr>
        <w:szCs w:val="24"/>
        <w:sz w:val="21"/>
        <w:lang w:val="en-US" w:eastAsia="zh-CN" w:bidi="ar-SA"/>
        <w:rFonts w:ascii="Times New Roman" w:hAnsi="Times New Roman"/>
        <w:color w:val="000000"/>
      </w:rPr>
      <w:spacing w:after="120"/>
      <w:jc w:val="both"/>
      <w:textAlignment w:val="baseline"/>
    </w:pPr>
    <w:rPr>
      <w:szCs w:val="24"/>
      <w:sz w:val="21"/>
      <w:lang w:val="en-US" w:eastAsia="zh-CN" w:bidi="ar-SA"/>
      <w:rFonts w:ascii="Times New Roman" w:hAnsi="Times New Roman"/>
      <w:color w:val="000000"/>
    </w:rPr>
  </w:style>
  <w:style w:type="paragraph" w:styleId="UserStyle_5">
    <w:name w:val="UserStyle_5"/>
    <w:basedOn w:val="Heading2"/>
    <w:next w:val="UserStyle_5"/>
    <w:link w:val="Normal"/>
    <w:pPr>
      <w:rPr>
        <w:b/>
        <w:bCs/>
        <w:szCs w:val="32"/>
        <w:sz w:val="32"/>
        <w:lang w:val="en-US" w:eastAsia="zh-CN" w:bidi="ar-SA"/>
        <w:rFonts w:ascii="Arial" w:cs="Times New Roman" w:eastAsia="黑体" w:hAnsi="Arial"/>
        <w:color w:val="000000"/>
      </w:rPr>
      <w:keepLines/>
      <w:keepNext/>
      <w:framePr w:outlineLvl="1"/>
      <w:spacing w:line="416" w:after="260" w:before="260" w:lineRule="auto"/>
      <w:jc w:val="both"/>
      <w:textAlignment w:val="baseline"/>
    </w:pPr>
    <w:rPr>
      <w:b/>
      <w:bCs/>
      <w:szCs w:val="32"/>
      <w:sz w:val="32"/>
      <w:lang w:val="en-US" w:eastAsia="zh-CN" w:bidi="ar-SA"/>
      <w:rFonts w:ascii="Arial" w:cs="Times New Roman" w:eastAsia="黑体" w:hAnsi="Arial"/>
      <w:color w:val="000000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both"/>
        <w:textAlignment w:val="baseline"/>
      </w:pPr>
      <w:r>
        <w:rPr>
          <w:rStyle w:val="NormalCharacter"/>
          <w:szCs w:val="28"/>
          <w:sz w:val="28"/>
          <w:kern w:val="1"/>
          <w:lang w:val="en-US" w:eastAsia="zh-CN" w:bidi="ar-SA"/>
          <w:rFonts w:ascii="黑体" w:eastAsia="黑体" w:hAnsi="黑体"/>
          <w:color w:val="000000"/>
        </w:rPr>
        <w:t xml:space="preserve">眼科手术显微镜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abs>
          <w:tab w:leader="none" w:val="left" w:pos="720"/>
        </w:tabs>
        <w:ind w:hanging="720" w:left="720"/>
        <w:spacing w:line="360" w:lineRule="auto"/>
        <w:jc w:val="left"/>
        <w:textAlignment w:val="baseline"/>
        <w:numPr>
          <w:ilvl w:val="0"/>
          <w:numId w:val="1"/>
        </w:numPr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数量：1套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abs>
          <w:tab w:leader="none" w:val="left" w:pos="720"/>
        </w:tabs>
        <w:ind w:hanging="720" w:left="720"/>
        <w:spacing w:line="360" w:lineRule="auto"/>
        <w:jc w:val="left"/>
        <w:textAlignment w:val="baseline"/>
        <w:numPr>
          <w:ilvl w:val="0"/>
          <w:numId w:val="1"/>
        </w:numPr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技术参数及要求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abs>
          <w:tab w:leader="none" w:val="left" w:pos="720"/>
        </w:tabs>
        <w:ind w:hanging="720" w:left="720"/>
        <w:spacing w:line="360" w:lineRule="auto"/>
        <w:jc w:val="left"/>
        <w:textAlignment w:val="baseline"/>
        <w:numPr>
          <w:ilvl w:val="0"/>
          <w:numId w:val="2"/>
        </w:numPr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显微镜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bCs/>
          <w:szCs w:val="24"/>
          <w:sz w:val="24"/>
          <w:kern w:val="1"/>
          <w:lang w:val="en-US" w:eastAsia="zh-CN" w:bidi="ar-SA"/>
          <w:rFonts w:ascii="Times New Roman" w:cs="Times New Roman" w:hAnsi="Times New Roman"/>
          <w:color w:val="000000"/>
        </w:rPr>
        <w:t xml:space="preserve">1.1</w:t>
      </w: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防反光多涂层复消色差技术（覆盖整个光学系统）、T*镀膜技术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1.2 电动变倍系统（变倍速度可调）：放大倍率1:6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1.3调焦范围≥50mm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★1.4主刀镜双目镜筒：0-180</w:t>
      </w:r>
      <w:r>
        <w:rPr>
          <w:rStyle w:val="NormalCharacter"/>
          <w:vertAlign w:val="superscript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。</w:t>
      </w: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倾角可调双目镜筒,具备内置倒像功能双目镜筒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1.5 目镜：10X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1.6物镜f=200mm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1.7具备智能景深增强系统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★1.8  助手镜：内置四光路助手镜，可独立调焦变倍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2、目镜屈光补偿：-8D到+5D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3、照明系统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3.1具备立体同轴照明系统技术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3.2具备红光反射照明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3.3具备手术视野照明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4、滤光片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4.1内置408nm防紫外线滤光片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4.2具有减少蓝光滤光片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4.3具有视网膜保护装置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4.4具有荧光滤光片（可选）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5、光源系统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5.1 12V,≥50W卤素灯，冷光源，光纤传导照明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5.2备用灯泡完全自动切换功能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6、X-Y水平移动系统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6.1调节范围≥59mm*59mm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6.2可自行定义初始状态的X-Y位置，调焦和变倍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7、控制单元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7.1具有触摸屏控制面板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7.2 可储存20组以上用户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7.3 具有故障诊断代码显示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8、脚踏控制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8.1 配置12功能防水脚踏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8.2可选配12功能无线脚踏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9、支架系统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9.1 配置集成化智能落地支架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9.2最大承重力≥13.5kg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10、非接触广角镜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★10.1 60D、128D；具有内调焦还原物镜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10.2工作距离≥110mm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11、提供设备运行所需的必要附件，提供易损件价格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三、售后服务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1、免费质保期：≥1年，终生维修；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2、保修期外收取零配件费，不收维修费；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3、接到用户维修通知后， 4小时内作出相应，并在12小时内派员到达用户现场实施维修,如果当日不能维修需免费提供备用机；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4、免费提供操作和维修培训。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b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显微镜摄像系统</w:t>
      </w:r>
    </w:p>
    <w:p>
      <w:pPr>
        <w:pStyle w:val="Normal"/>
        <w:rPr>
          <w:rStyle w:val="NormalCharacter"/>
          <w:b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abs>
          <w:tab w:leader="none" w:val="left" w:pos="480"/>
        </w:tabs>
        <w:ind w:hanging="480" w:left="480"/>
        <w:spacing w:line="360" w:lineRule="auto"/>
        <w:jc w:val="left"/>
        <w:textAlignment w:val="baseline"/>
        <w:numPr>
          <w:ilvl w:val="0"/>
          <w:numId w:val="3"/>
        </w:numPr>
      </w:pPr>
      <w:r>
        <w:rPr>
          <w:rStyle w:val="NormalCharacter"/>
          <w:b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数量：1套</w:t>
      </w:r>
    </w:p>
    <w:p>
      <w:pPr>
        <w:pStyle w:val="Normal"/>
        <w:rPr>
          <w:rStyle w:val="NormalCharacter"/>
          <w:b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abs>
          <w:tab w:leader="none" w:val="left" w:pos="480"/>
        </w:tabs>
        <w:ind w:hanging="480" w:left="480"/>
        <w:spacing w:line="360" w:lineRule="auto"/>
        <w:jc w:val="left"/>
        <w:textAlignment w:val="baseline"/>
        <w:numPr>
          <w:ilvl w:val="0"/>
          <w:numId w:val="3"/>
        </w:numPr>
      </w:pPr>
      <w:r>
        <w:rPr>
          <w:rStyle w:val="NormalCharacter"/>
          <w:b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技术参数及要求</w:t>
      </w:r>
    </w:p>
    <w:p>
      <w:pPr>
        <w:pStyle w:val="Normal"/>
        <w:rPr>
          <w:rStyle w:val="NormalCharacter"/>
          <w:b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b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1视频接口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1.1视频接口光圈连续调节，获得最佳景深效果和图像亮度；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1.2视频接口焦距70mm,可进行手动微调焦；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1.3 X-Y位置可以调整，保持术野在视频中心；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1.4视频接口为标准C型接口，可以适配各种摄像头;</w:t>
      </w:r>
    </w:p>
    <w:p>
      <w:pPr>
        <w:pStyle w:val="Normal"/>
        <w:rPr>
          <w:rStyle w:val="NormalCharacter"/>
          <w:b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b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2视频系统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abs>
          <w:tab w:leader="none" w:val="left" w:pos="360"/>
        </w:tabs>
        <w:ind w:hanging="360" w:left="360"/>
        <w:spacing w:line="360" w:lineRule="auto"/>
        <w:jc w:val="left"/>
        <w:textAlignment w:val="baseline"/>
        <w:numPr>
          <w:ilvl w:val="1"/>
          <w:numId w:val="4"/>
        </w:numPr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 ≥2.5TB SATAII硬盘，可以保存≥150小时手术录像。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abs>
          <w:tab w:leader="none" w:val="left" w:pos="360"/>
        </w:tabs>
        <w:ind w:hanging="360" w:left="360"/>
        <w:spacing w:line="360" w:lineRule="auto"/>
        <w:jc w:val="left"/>
        <w:textAlignment w:val="baseline"/>
        <w:numPr>
          <w:ilvl w:val="1"/>
          <w:numId w:val="4"/>
        </w:numPr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 软件可实现MPEGII / WMV HD格式实时视频压缩、保存。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abs>
          <w:tab w:leader="none" w:val="left" w:pos="360"/>
        </w:tabs>
        <w:ind w:hanging="360" w:left="360"/>
        <w:spacing w:line="360" w:lineRule="auto"/>
        <w:jc w:val="left"/>
        <w:textAlignment w:val="baseline"/>
        <w:numPr>
          <w:ilvl w:val="1"/>
          <w:numId w:val="4"/>
        </w:numPr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 完善的患者数据库管理功能，可进行智能检索，数据库备份等；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abs>
          <w:tab w:leader="none" w:val="left" w:pos="360"/>
        </w:tabs>
        <w:ind w:hanging="360" w:left="360"/>
        <w:spacing w:line="360" w:lineRule="auto"/>
        <w:jc w:val="left"/>
        <w:textAlignment w:val="baseline"/>
        <w:numPr>
          <w:ilvl w:val="1"/>
          <w:numId w:val="4"/>
        </w:numPr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 录像时支持暂停（Pause）,暂停后恢复录像，成为一个录像文件；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abs>
          <w:tab w:leader="none" w:val="left" w:pos="360"/>
        </w:tabs>
        <w:ind w:hanging="360" w:left="360"/>
        <w:spacing w:line="360" w:lineRule="auto"/>
        <w:jc w:val="left"/>
        <w:textAlignment w:val="baseline"/>
        <w:numPr>
          <w:ilvl w:val="1"/>
          <w:numId w:val="4"/>
        </w:numPr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 实时/回放时捕捉静态图像，支持TIFF、BMP、JPG、PNG格式。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abs>
          <w:tab w:leader="none" w:val="left" w:pos="360"/>
        </w:tabs>
        <w:ind w:hanging="360" w:left="360"/>
        <w:spacing w:line="360" w:lineRule="auto"/>
        <w:jc w:val="left"/>
        <w:textAlignment w:val="baseline"/>
        <w:numPr>
          <w:ilvl w:val="1"/>
          <w:numId w:val="4"/>
        </w:numPr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 具有高速视频剪辑编辑功能。</w:t>
      </w:r>
    </w:p>
    <w:p>
      <w:pPr>
        <w:pStyle w:val="Normal"/>
        <w:rPr>
          <w:rStyle w:val="NormalCharacter"/>
          <w:b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b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3 逐行扫描高清摄像头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3.1 1/2.9英寸高清摄像头;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3.2  摄像头像素分辨率：1920x1080;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3.3 </w:t>
      </w: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 3</w:t>
      </w: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晶片、逐行扫描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3.4水平分辨率：900电视线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三、售后服务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1、免费质保期：≥1年，终生维修；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2、保修期外收取零配件费，不收维修费；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3、接到用户维修通知后， 4小时内作出相应，并在12小时内派员到达用户现场实施维修,如果当日不能维修需免费提供备用机；</w:t>
      </w:r>
    </w:p>
    <w:p>
      <w:pPr>
        <w:pStyle w:val="Normal"/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spacing w:line="360" w:lineRule="auto"/>
        <w:jc w:val="left"/>
        <w:textAlignment w:val="baseline"/>
      </w:pPr>
      <w:r>
        <w:rPr>
          <w:rStyle w:val="NormalCharacter"/>
          <w:szCs w:val="24"/>
          <w:sz w:val="24"/>
          <w:kern w:val="1"/>
          <w:lang w:val="en-US" w:eastAsia="zh-CN" w:bidi="ar-SA"/>
          <w:rFonts w:ascii="Times New Roman" w:hAnsi="Times New Roman"/>
          <w:color w:val="000000"/>
        </w:rPr>
        <w:t xml:space="preserve">4、免费提供操作和维修培训。</w:t>
      </w:r>
    </w:p>
    <w:p>
      <w:pPr>
        <w:pStyle w:val="Normal"/>
        <w:rPr>
          <w:rStyle w:val="NormalCharacter"/>
          <w:szCs w:val="24"/>
          <w:sz w:val="21"/>
          <w:lang w:val="en-US" w:eastAsia="zh-CN" w:bidi="ar-SA"/>
          <w:rFonts w:ascii="Times New Roman" w:hAnsi="Times New Roman"/>
          <w:color w:val="000000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p_48(48_0|D,49mpValue|null,50mpValue|null,51mpValue|null,52mpValue|null,53mpValue|null,54mpValue|null,55mpValue|null,56mpValue|null,57mpValue|null,58mpValue|null,59mpValue|null,60mpValue|null,61mpValue|null,62mpValue|null,63mpValue|null,64mpValue|null,65mpValue|null,66mpValue|null,67mpValue|null,68mpValue|null,69mpValue|null,70mpValue|null,71mpValue|null,72mpValue|null);p_49|D;p_50|D;p_51|D;p_52|D;p_53|D;p_54|D;p_55|D;p_56|D;p_57|D;p_58|D;p_59|D;p_60|D;p_61|D;p_62|D;p_63|D;p_64|D;p_65|D;p_66|D;p_67|D;p_68|D;p_69|D;p_70|D;p_71|D;p_72|D;
</file>